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258BA">
        <w:trPr>
          <w:trHeight w:hRule="exact" w:val="1998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710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851" w:type="dxa"/>
          </w:tcPr>
          <w:p w:rsidR="005258BA" w:rsidRDefault="005258B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5258BA" w:rsidRDefault="005258BA">
            <w:pPr>
              <w:spacing w:after="0" w:line="240" w:lineRule="auto"/>
              <w:jc w:val="both"/>
            </w:pPr>
          </w:p>
          <w:p w:rsidR="005258BA" w:rsidRDefault="006D295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258BA">
        <w:trPr>
          <w:trHeight w:hRule="exact" w:val="138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710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851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1277" w:type="dxa"/>
          </w:tcPr>
          <w:p w:rsidR="005258BA" w:rsidRDefault="005258BA"/>
        </w:tc>
        <w:tc>
          <w:tcPr>
            <w:tcW w:w="993" w:type="dxa"/>
          </w:tcPr>
          <w:p w:rsidR="005258BA" w:rsidRDefault="005258BA"/>
        </w:tc>
        <w:tc>
          <w:tcPr>
            <w:tcW w:w="2836" w:type="dxa"/>
          </w:tcPr>
          <w:p w:rsidR="005258BA" w:rsidRDefault="005258BA"/>
        </w:tc>
      </w:tr>
      <w:tr w:rsidR="005258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58B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258BA">
        <w:trPr>
          <w:trHeight w:hRule="exact" w:val="277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710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851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1277" w:type="dxa"/>
          </w:tcPr>
          <w:p w:rsidR="005258BA" w:rsidRDefault="005258BA"/>
        </w:tc>
        <w:tc>
          <w:tcPr>
            <w:tcW w:w="993" w:type="dxa"/>
          </w:tcPr>
          <w:p w:rsidR="005258BA" w:rsidRDefault="005258BA"/>
        </w:tc>
        <w:tc>
          <w:tcPr>
            <w:tcW w:w="2836" w:type="dxa"/>
          </w:tcPr>
          <w:p w:rsidR="005258BA" w:rsidRDefault="005258BA"/>
        </w:tc>
      </w:tr>
      <w:tr w:rsidR="005258BA">
        <w:trPr>
          <w:trHeight w:hRule="exact" w:val="277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710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851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1277" w:type="dxa"/>
          </w:tcPr>
          <w:p w:rsidR="005258BA" w:rsidRDefault="005258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58BA">
        <w:trPr>
          <w:trHeight w:hRule="exact" w:val="972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710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851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1277" w:type="dxa"/>
          </w:tcPr>
          <w:p w:rsidR="005258BA" w:rsidRDefault="005258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5258BA" w:rsidRDefault="005258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58BA">
        <w:trPr>
          <w:trHeight w:hRule="exact" w:val="277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710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851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1277" w:type="dxa"/>
          </w:tcPr>
          <w:p w:rsidR="005258BA" w:rsidRDefault="005258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5258BA">
        <w:trPr>
          <w:trHeight w:hRule="exact" w:val="277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710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851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1277" w:type="dxa"/>
          </w:tcPr>
          <w:p w:rsidR="005258BA" w:rsidRDefault="005258BA"/>
        </w:tc>
        <w:tc>
          <w:tcPr>
            <w:tcW w:w="993" w:type="dxa"/>
          </w:tcPr>
          <w:p w:rsidR="005258BA" w:rsidRDefault="005258BA"/>
        </w:tc>
        <w:tc>
          <w:tcPr>
            <w:tcW w:w="2836" w:type="dxa"/>
          </w:tcPr>
          <w:p w:rsidR="005258BA" w:rsidRDefault="005258BA"/>
        </w:tc>
      </w:tr>
      <w:tr w:rsidR="005258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58BA">
        <w:trPr>
          <w:trHeight w:hRule="exact" w:val="1496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710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Модели государственно- общественного управления образованием</w:t>
            </w:r>
          </w:p>
          <w:p w:rsidR="005258BA" w:rsidRDefault="006D29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К.М.05.03</w:t>
            </w:r>
          </w:p>
        </w:tc>
        <w:tc>
          <w:tcPr>
            <w:tcW w:w="2836" w:type="dxa"/>
          </w:tcPr>
          <w:p w:rsidR="005258BA" w:rsidRDefault="005258BA"/>
        </w:tc>
      </w:tr>
      <w:tr w:rsidR="005258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258BA">
        <w:trPr>
          <w:trHeight w:hRule="exact" w:val="1396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(высшее образование - магистратура)</w:t>
            </w: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58BA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5258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1277" w:type="dxa"/>
          </w:tcPr>
          <w:p w:rsidR="005258BA" w:rsidRDefault="005258BA"/>
        </w:tc>
        <w:tc>
          <w:tcPr>
            <w:tcW w:w="993" w:type="dxa"/>
          </w:tcPr>
          <w:p w:rsidR="005258BA" w:rsidRDefault="005258BA"/>
        </w:tc>
        <w:tc>
          <w:tcPr>
            <w:tcW w:w="2836" w:type="dxa"/>
          </w:tcPr>
          <w:p w:rsidR="005258BA" w:rsidRDefault="005258BA"/>
        </w:tc>
      </w:tr>
      <w:tr w:rsidR="005258BA">
        <w:trPr>
          <w:trHeight w:hRule="exact" w:val="155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710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851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1277" w:type="dxa"/>
          </w:tcPr>
          <w:p w:rsidR="005258BA" w:rsidRDefault="005258BA"/>
        </w:tc>
        <w:tc>
          <w:tcPr>
            <w:tcW w:w="993" w:type="dxa"/>
          </w:tcPr>
          <w:p w:rsidR="005258BA" w:rsidRDefault="005258BA"/>
        </w:tc>
        <w:tc>
          <w:tcPr>
            <w:tcW w:w="2836" w:type="dxa"/>
          </w:tcPr>
          <w:p w:rsidR="005258BA" w:rsidRDefault="005258BA"/>
        </w:tc>
      </w:tr>
      <w:tr w:rsidR="005258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58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5258B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58BA" w:rsidRDefault="005258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/>
        </w:tc>
      </w:tr>
      <w:tr w:rsidR="005258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258B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58BA" w:rsidRDefault="005258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/>
        </w:tc>
      </w:tr>
      <w:tr w:rsidR="005258BA">
        <w:trPr>
          <w:trHeight w:hRule="exact" w:val="124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710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851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1277" w:type="dxa"/>
          </w:tcPr>
          <w:p w:rsidR="005258BA" w:rsidRDefault="005258BA"/>
        </w:tc>
        <w:tc>
          <w:tcPr>
            <w:tcW w:w="993" w:type="dxa"/>
          </w:tcPr>
          <w:p w:rsidR="005258BA" w:rsidRDefault="005258BA"/>
        </w:tc>
        <w:tc>
          <w:tcPr>
            <w:tcW w:w="2836" w:type="dxa"/>
          </w:tcPr>
          <w:p w:rsidR="005258BA" w:rsidRDefault="005258BA"/>
        </w:tc>
      </w:tr>
      <w:tr w:rsidR="005258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5258BA">
        <w:trPr>
          <w:trHeight w:hRule="exact" w:val="307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710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851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/>
        </w:tc>
      </w:tr>
      <w:tr w:rsidR="005258BA">
        <w:trPr>
          <w:trHeight w:hRule="exact" w:val="1283"/>
        </w:trPr>
        <w:tc>
          <w:tcPr>
            <w:tcW w:w="143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710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1419" w:type="dxa"/>
          </w:tcPr>
          <w:p w:rsidR="005258BA" w:rsidRDefault="005258BA"/>
        </w:tc>
        <w:tc>
          <w:tcPr>
            <w:tcW w:w="851" w:type="dxa"/>
          </w:tcPr>
          <w:p w:rsidR="005258BA" w:rsidRDefault="005258BA"/>
        </w:tc>
        <w:tc>
          <w:tcPr>
            <w:tcW w:w="285" w:type="dxa"/>
          </w:tcPr>
          <w:p w:rsidR="005258BA" w:rsidRDefault="005258BA"/>
        </w:tc>
        <w:tc>
          <w:tcPr>
            <w:tcW w:w="1277" w:type="dxa"/>
          </w:tcPr>
          <w:p w:rsidR="005258BA" w:rsidRDefault="005258BA"/>
        </w:tc>
        <w:tc>
          <w:tcPr>
            <w:tcW w:w="993" w:type="dxa"/>
          </w:tcPr>
          <w:p w:rsidR="005258BA" w:rsidRDefault="005258BA"/>
        </w:tc>
        <w:tc>
          <w:tcPr>
            <w:tcW w:w="2836" w:type="dxa"/>
          </w:tcPr>
          <w:p w:rsidR="005258BA" w:rsidRDefault="005258BA"/>
        </w:tc>
      </w:tr>
      <w:tr w:rsidR="005258BA">
        <w:trPr>
          <w:trHeight w:hRule="exact" w:val="277"/>
        </w:trPr>
        <w:tc>
          <w:tcPr>
            <w:tcW w:w="143" w:type="dxa"/>
          </w:tcPr>
          <w:p w:rsidR="005258BA" w:rsidRDefault="005258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58BA">
        <w:trPr>
          <w:trHeight w:hRule="exact" w:val="138"/>
        </w:trPr>
        <w:tc>
          <w:tcPr>
            <w:tcW w:w="143" w:type="dxa"/>
          </w:tcPr>
          <w:p w:rsidR="005258BA" w:rsidRDefault="005258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/>
        </w:tc>
      </w:tr>
      <w:tr w:rsidR="005258BA">
        <w:trPr>
          <w:trHeight w:hRule="exact" w:val="1666"/>
        </w:trPr>
        <w:tc>
          <w:tcPr>
            <w:tcW w:w="143" w:type="dxa"/>
          </w:tcPr>
          <w:p w:rsidR="005258BA" w:rsidRDefault="005258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5258BA" w:rsidRDefault="005258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5258BA" w:rsidRDefault="005258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58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258BA" w:rsidRDefault="005258BA">
            <w:pPr>
              <w:spacing w:after="0" w:line="240" w:lineRule="auto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д.п.н., профессор _________________ /Шмачилина-Цибенко Светлана Витальевна/</w:t>
            </w:r>
          </w:p>
          <w:p w:rsidR="005258BA" w:rsidRDefault="005258BA">
            <w:pPr>
              <w:spacing w:after="0" w:line="240" w:lineRule="auto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5258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8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58BA">
        <w:trPr>
          <w:trHeight w:hRule="exact" w:val="555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8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58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258BA" w:rsidRDefault="005258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гуманитарная академия» (далее – Академия; ОмГА):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28.08.2017 №37;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год, утвержденным приказом ректора от 25.03.2024 №34;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«Модели государственно-общественного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образованием» в течение 2024-2025 учебного года: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соответствии с требованиями законодательства Российской Федерации в сфере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8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58BA">
        <w:trPr>
          <w:trHeight w:hRule="exact" w:val="138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К.М.05.03 «Модели государственно-общественного управления образованием».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58BA">
        <w:trPr>
          <w:trHeight w:hRule="exact" w:val="138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«Модели государственно-общественного управления образованием» направлен на формирование у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58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взаимодействие всех участников образовательного процесса в коллегиальных органах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управления, соответствующих целям развития образовательной организации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>
            <w:pPr>
              <w:spacing w:after="0" w:line="240" w:lineRule="auto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5258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модели  взаимодействия государства  и  общества  в образовании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уметь  отбирать  и использовать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5258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владеть адекватными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5258BA">
        <w:trPr>
          <w:trHeight w:hRule="exact" w:val="277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Готовность изучать состояние и потенциал управляемой системы и ее макро-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микроокружения путем использования комплекса методов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>
            <w:pPr>
              <w:spacing w:after="0" w:line="240" w:lineRule="auto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знать особенности методов 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на соответствующем  уровне образования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5258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ПК-5.5 владеть приемами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инструментарием  экспертизы локальных  актов образовательной организации,  обеспечивающих реализацию  деятельности коллегиальных  органов  управления, способен осуществлять их оценку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258B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258BA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К.М.05.03 «Модели государственно-общественного управления образованием» относится к обязательной части, является дисциплиной Блока Б1. «Дисциплины (модули)». Модуль "Демократические традиции управления образованием в России и за рубежом" 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5258BA">
        <w:trPr>
          <w:trHeight w:hRule="exact" w:val="138"/>
        </w:trPr>
        <w:tc>
          <w:tcPr>
            <w:tcW w:w="3970" w:type="dxa"/>
          </w:tcPr>
          <w:p w:rsidR="005258BA" w:rsidRDefault="005258BA"/>
        </w:tc>
        <w:tc>
          <w:tcPr>
            <w:tcW w:w="3828" w:type="dxa"/>
          </w:tcPr>
          <w:p w:rsidR="005258BA" w:rsidRDefault="005258BA"/>
        </w:tc>
        <w:tc>
          <w:tcPr>
            <w:tcW w:w="852" w:type="dxa"/>
          </w:tcPr>
          <w:p w:rsidR="005258BA" w:rsidRDefault="005258BA"/>
        </w:tc>
        <w:tc>
          <w:tcPr>
            <w:tcW w:w="993" w:type="dxa"/>
          </w:tcPr>
          <w:p w:rsidR="005258BA" w:rsidRDefault="005258BA"/>
        </w:tc>
      </w:tr>
      <w:tr w:rsidR="005258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258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5258BA"/>
        </w:tc>
      </w:tr>
      <w:tr w:rsidR="005258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5258BA"/>
        </w:tc>
      </w:tr>
      <w:tr w:rsidR="005258BA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и теория становления государственно-общественного управления</w:t>
            </w: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образованием в России</w:t>
            </w:r>
          </w:p>
          <w:p w:rsidR="005258BA" w:rsidRDefault="005258BA">
            <w:pPr>
              <w:spacing w:after="0" w:line="240" w:lineRule="auto"/>
              <w:jc w:val="center"/>
            </w:pP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Научные основы </w:t>
            </w:r>
            <w:r>
              <w:rPr>
                <w:rFonts w:ascii="Times New Roman" w:hAnsi="Times New Roman" w:cs="Times New Roman"/>
                <w:color w:val="000000"/>
              </w:rPr>
              <w:t>проектирования в социальной сфере</w:t>
            </w: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 технологическая))</w:t>
            </w: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развитием системы образования в России</w:t>
            </w: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Лучшие практики государств</w:t>
            </w:r>
            <w:r>
              <w:rPr>
                <w:rFonts w:ascii="Times New Roman" w:hAnsi="Times New Roman" w:cs="Times New Roman"/>
                <w:color w:val="000000"/>
              </w:rPr>
              <w:t>енно- общественного управления образованием</w:t>
            </w: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России</w:t>
            </w:r>
          </w:p>
          <w:p w:rsidR="005258BA" w:rsidRDefault="005258BA">
            <w:pPr>
              <w:spacing w:after="0" w:line="240" w:lineRule="auto"/>
              <w:jc w:val="center"/>
            </w:pP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Проблемы качества современного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Демократические традиции управления в европейском образовании</w:t>
            </w: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Зарубежный опыт организации государственно -общественного управления образованием</w:t>
            </w: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инф</w:t>
            </w:r>
            <w:r>
              <w:rPr>
                <w:rFonts w:ascii="Times New Roman" w:hAnsi="Times New Roman" w:cs="Times New Roman"/>
                <w:color w:val="000000"/>
              </w:rPr>
              <w:t>ормационной открытости школы</w:t>
            </w: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Общественная оценка качества образования</w:t>
            </w: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5258BA" w:rsidRDefault="006D2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</w:t>
            </w:r>
          </w:p>
        </w:tc>
      </w:tr>
      <w:tr w:rsidR="005258BA">
        <w:trPr>
          <w:trHeight w:hRule="exact" w:val="138"/>
        </w:trPr>
        <w:tc>
          <w:tcPr>
            <w:tcW w:w="3970" w:type="dxa"/>
          </w:tcPr>
          <w:p w:rsidR="005258BA" w:rsidRDefault="005258BA"/>
        </w:tc>
        <w:tc>
          <w:tcPr>
            <w:tcW w:w="3828" w:type="dxa"/>
          </w:tcPr>
          <w:p w:rsidR="005258BA" w:rsidRDefault="005258BA"/>
        </w:tc>
        <w:tc>
          <w:tcPr>
            <w:tcW w:w="852" w:type="dxa"/>
          </w:tcPr>
          <w:p w:rsidR="005258BA" w:rsidRDefault="005258BA"/>
        </w:tc>
        <w:tc>
          <w:tcPr>
            <w:tcW w:w="993" w:type="dxa"/>
          </w:tcPr>
          <w:p w:rsidR="005258BA" w:rsidRDefault="005258BA"/>
        </w:tc>
      </w:tr>
      <w:tr w:rsidR="005258B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– 72 академических часов</w:t>
            </w: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58BA">
        <w:trPr>
          <w:trHeight w:hRule="exact" w:val="138"/>
        </w:trPr>
        <w:tc>
          <w:tcPr>
            <w:tcW w:w="3970" w:type="dxa"/>
          </w:tcPr>
          <w:p w:rsidR="005258BA" w:rsidRDefault="005258BA"/>
        </w:tc>
        <w:tc>
          <w:tcPr>
            <w:tcW w:w="3828" w:type="dxa"/>
          </w:tcPr>
          <w:p w:rsidR="005258BA" w:rsidRDefault="005258BA"/>
        </w:tc>
        <w:tc>
          <w:tcPr>
            <w:tcW w:w="852" w:type="dxa"/>
          </w:tcPr>
          <w:p w:rsidR="005258BA" w:rsidRDefault="005258BA"/>
        </w:tc>
        <w:tc>
          <w:tcPr>
            <w:tcW w:w="993" w:type="dxa"/>
          </w:tcPr>
          <w:p w:rsidR="005258BA" w:rsidRDefault="005258BA"/>
        </w:tc>
      </w:tr>
      <w:tr w:rsidR="005258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8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8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8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8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258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8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5258BA">
        <w:trPr>
          <w:trHeight w:hRule="exact" w:val="138"/>
        </w:trPr>
        <w:tc>
          <w:tcPr>
            <w:tcW w:w="3970" w:type="dxa"/>
          </w:tcPr>
          <w:p w:rsidR="005258BA" w:rsidRDefault="005258BA"/>
        </w:tc>
        <w:tc>
          <w:tcPr>
            <w:tcW w:w="3828" w:type="dxa"/>
          </w:tcPr>
          <w:p w:rsidR="005258BA" w:rsidRDefault="005258BA"/>
        </w:tc>
        <w:tc>
          <w:tcPr>
            <w:tcW w:w="852" w:type="dxa"/>
          </w:tcPr>
          <w:p w:rsidR="005258BA" w:rsidRDefault="005258BA"/>
        </w:tc>
        <w:tc>
          <w:tcPr>
            <w:tcW w:w="993" w:type="dxa"/>
          </w:tcPr>
          <w:p w:rsidR="005258BA" w:rsidRDefault="005258BA"/>
        </w:tc>
      </w:tr>
      <w:tr w:rsidR="005258BA">
        <w:trPr>
          <w:trHeight w:hRule="exact" w:val="16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58BA" w:rsidRDefault="005258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58BA">
        <w:trPr>
          <w:trHeight w:hRule="exact" w:val="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/>
        </w:tc>
      </w:tr>
      <w:tr w:rsidR="005258BA">
        <w:trPr>
          <w:trHeight w:hRule="exact" w:val="416"/>
        </w:trPr>
        <w:tc>
          <w:tcPr>
            <w:tcW w:w="5671" w:type="dxa"/>
          </w:tcPr>
          <w:p w:rsidR="005258BA" w:rsidRDefault="005258BA"/>
        </w:tc>
        <w:tc>
          <w:tcPr>
            <w:tcW w:w="1702" w:type="dxa"/>
          </w:tcPr>
          <w:p w:rsidR="005258BA" w:rsidRDefault="005258BA"/>
        </w:tc>
        <w:tc>
          <w:tcPr>
            <w:tcW w:w="1135" w:type="dxa"/>
          </w:tcPr>
          <w:p w:rsidR="005258BA" w:rsidRDefault="005258BA"/>
        </w:tc>
        <w:tc>
          <w:tcPr>
            <w:tcW w:w="1135" w:type="dxa"/>
          </w:tcPr>
          <w:p w:rsidR="005258BA" w:rsidRDefault="005258BA"/>
        </w:tc>
      </w:tr>
      <w:tr w:rsidR="005258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58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8BA" w:rsidRDefault="005258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8BA" w:rsidRDefault="005258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8BA" w:rsidRDefault="005258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8BA" w:rsidRDefault="005258BA"/>
        </w:tc>
      </w:tr>
      <w:tr w:rsidR="005258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Государственно-общественное управление в сфере образования: сущность,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8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Моделирование процесса государственно общественного управления в со-временных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8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3. Основные подходы к формированию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(системы) государственно-общественного управления образовательными учреждениями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8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4. Типовые модели системы общественно- государственного управления образованием с участием родительской общественности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8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258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1. Модели школьного управляющего совета за рубежом (Круглый стол).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8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2. Особенности функционирования школьных советов в странах Северной и Западной Европы, Северной Америки. (Круглый стол).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8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3. Управляющий совет как ядро системы общественно-государственного управления образовательным учреждением.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8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4. Модели государственно- общественного управления дошко-льным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8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 5. Модель общественно- активной школы. 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8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8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258BA">
        <w:trPr>
          <w:trHeight w:hRule="exact" w:val="6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258BA" w:rsidRDefault="006D29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8BA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закона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учающегося).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 не имеющей государственной аккредитации образовательной программе: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>
            <w:pPr>
              <w:spacing w:after="0" w:line="240" w:lineRule="auto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58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5258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Государственно-общественное управление в сфере образования: сущность, основные понятия.</w:t>
            </w:r>
          </w:p>
        </w:tc>
      </w:tr>
      <w:tr w:rsidR="005258B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/>
        </w:tc>
      </w:tr>
      <w:tr w:rsidR="005258BA">
        <w:trPr>
          <w:trHeight w:hRule="exact" w:val="28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Государственно-общественное управление как особый тип управления. Сущест-венные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государственно-общественного управления в сфере образования от госу- дарственного управления. Заинтересованные стороны сферы общего образования и их интересы. Понятие «общественность», «общественное» в контексте государственно- общественного управления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азованием. Понятие о государственной и общественной составляющих управления. Сквозной и многоуровневый характер государственно- общественного управления образованием. «Сильные» и «слабые» стороны государствен- ной и общественной составляющих управления.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лесообразность объединения «силь- ных» и минимизации (компенсации) «слабых» сторон в едином государственно- общественном управлении. Мотивация участия общественности в управлении образова-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8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нием. Основные области и «точки входа» общественного участия в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правлении образова- нием: участие в выработке образовательной политики, общественного мнения об образо- вании, в формировании и принятии образовательными организациями и системами соци- ального заказа на содержание образования и на формирование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программ и программ развития; участие в ресурсном обеспечении образования, участие в контроле и оценке условий жизнедеятельности образовательных систем и учреждении, хода и результатов образовательного процесса.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Моделирование процесса госуд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арственно общественного управления в со- временных условиях</w:t>
            </w:r>
          </w:p>
        </w:tc>
      </w:tr>
      <w:tr w:rsidR="005258B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«четырехуровневой структурно-функциональной модели» управления школой, построенной с позиций процессного подхода. Характеристик организационно- педагогической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перевода Образовательной системы образовательного учреждения в режим самоорганизации. Модель системы управления развитием общеобразовательного учреждения» (СУР ОУ), основанную на цикле Эдварда Деминга. Модели совершенства EFQM и японской премии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чества. Модель государственно- общественного управления как особый тип взаимодействия государства и общества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3. Основные подходы к формированию модели (системы) государственно- общественного управления образовательными учреждениями</w:t>
            </w:r>
          </w:p>
        </w:tc>
      </w:tr>
      <w:tr w:rsidR="005258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гляда на введение государственно-общественного управления образова- тельным учреждением. Особенности типовой модели системы государственно- общественного управления образовательным учреждением, ее функции. Совокупность внешних и внутренних условий становле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развития модели государственно- общественного управления образовательным учреждением, ее цель и задачи. Стратегиче- ские документы модели, отражающие демократический, государственно-общественный характер управления образованием. Принципы модели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арственно-общественного управления образовательным учреждением. Системные эффекты расширения обществен- ного участия в формировании образовательной политики. Ценности, получающие распространение в ходе реализации типовой модели. Организация структуры модел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4. Типовые модели системы общественно-государственного управления образованием с участием родительской общественности</w:t>
            </w:r>
          </w:p>
        </w:tc>
      </w:tr>
      <w:tr w:rsidR="005258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механизмы, принципы и подходы, способствующие вовлечению родите-лей (законных представителей)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 обучающихся в процессы формиро- вания, функционирования органов общественно-государственного управления образова- тельной организацией. Задачи Модели. Проблематика развития общественно- государственного управления образованием с участием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родительской общественности. Функции системы общественно-государственного управления образованием с участием родительской общественности. Полномочия органа общественно-государственного управления. Субъекты общественно-государственного управления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и их взаимодействие. Целесообразные формы функционирования органов общественно- государственного управления образованием. Порядок функционирования органов обще- ственно-государственного управления и его элементы.</w:t>
            </w:r>
          </w:p>
        </w:tc>
      </w:tr>
      <w:tr w:rsidR="005258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258BA">
        <w:trPr>
          <w:trHeight w:hRule="exact" w:val="147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занятие 1. Модели школьного управляющего совета за рубежом (Круглый стол).</w:t>
            </w:r>
          </w:p>
        </w:tc>
      </w:tr>
      <w:tr w:rsidR="005258BA">
        <w:trPr>
          <w:trHeight w:hRule="exact" w:val="21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2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Партиципация, как одна из форм демократии в условиях внутришкольного управления за рубежом, основные характеристики данной модели.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советы Великобритании: наличие единого портала для школьных управляющих, институт кураторов для новых членов управляющих советов, использование портфолио школьных управляющих как средства мониторинга и качества их подготовки.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Школьные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как актуальное новшество, Франции. Законы о децентрализации во Франции и новые отношения между местными властями и системой образования.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8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 Роль Административного Совета (или управляющего Совета) в школах Франции. Родители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неотъемлемая часть образовательного сообщества современной французской школы, четыре общенациональных объединения родителей общеобразовательных учебных заведений.</w:t>
            </w:r>
          </w:p>
        </w:tc>
      </w:tr>
      <w:tr w:rsidR="005258BA">
        <w:trPr>
          <w:trHeight w:hRule="exact" w:val="8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Семинарское занятие 2. Особенности функционирования школьных советов в странах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Северной и Западной Европы, Северной Америки. (Круглый стол).</w:t>
            </w:r>
          </w:p>
        </w:tc>
      </w:tr>
      <w:tr w:rsidR="005258BA">
        <w:trPr>
          <w:trHeight w:hRule="exact" w:val="21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Школьные управления коммун в Швеции, задачи учреждённых Советов в различных коммунах.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Несколько моделей управляющих школьных советов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Нидерландах.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Организация деятельности управляющих школьных советов в Канаде.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Специфика школьного управляющего совета в США.</w:t>
            </w:r>
          </w:p>
        </w:tc>
      </w:tr>
      <w:tr w:rsidR="005258BA">
        <w:trPr>
          <w:trHeight w:hRule="exact" w:val="8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3. Управляющий совет как ядро системы общественно- государственного управления образовательным учрежде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нием.</w:t>
            </w:r>
          </w:p>
        </w:tc>
      </w:tr>
      <w:tr w:rsidR="005258BA">
        <w:trPr>
          <w:trHeight w:hRule="exact" w:val="21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Модель формирования управляющего совета.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Управляющий совет как центральное звено системы государственно-общественного управления учреждением.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задачи управляющего совета.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Отличия управляющего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попечительских советов, советов школы, других органов самоуправления.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Компетенция управляющего совета.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Функции управляющего совета.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Опыт разработки программ развития школы Управляющим советом.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Основные проекты, реализуемые под руководством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вляющего совета школой.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Корпоративная культура членов управляющего совета.</w:t>
            </w:r>
          </w:p>
        </w:tc>
      </w:tr>
      <w:tr w:rsidR="005258BA">
        <w:trPr>
          <w:trHeight w:hRule="exact" w:val="8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4. Модели государственно-общественного управления дошко- льным образованием</w:t>
            </w:r>
          </w:p>
        </w:tc>
      </w:tr>
      <w:tr w:rsidR="005258BA">
        <w:trPr>
          <w:trHeight w:hRule="exact" w:val="21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Проектный подход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государственно-общественном управлении муниципальной системой образования в секторе дошкольного образования.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Управляющий совет дошкольной образовательной организации.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Наблюдательный совет в дошкольной образовательной организации.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Попечительские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веты дошкольных образовательных организаций.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Частно-государственное и социальное партнерство в секторе дошкольного образования.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Благотворительные фонды попечительства об образовании.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Механизмы реализации модели государственно-общественного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дошкольным образованием</w:t>
            </w:r>
          </w:p>
        </w:tc>
      </w:tr>
      <w:tr w:rsidR="005258BA">
        <w:trPr>
          <w:trHeight w:hRule="exact" w:val="8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5. Модель общественно-активной школы. Круглый стол.</w:t>
            </w:r>
          </w:p>
        </w:tc>
      </w:tr>
      <w:tr w:rsidR="005258BA">
        <w:trPr>
          <w:trHeight w:hRule="exact" w:val="21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деятельности в рамках реализации модели общественно- активной школы.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Преимуществами ОАШ в различных сферах.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Возможности модели общественно-активной школы.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по самооцениванию «Деятельности общественно-активных школ».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и показатели «Деятельности общественно-активных школ».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58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>
            <w:pPr>
              <w:spacing w:after="0" w:line="240" w:lineRule="auto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258B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«Модели государственно-общественного управления образованием» / Шмачилина-Цибенко Светлана Витальевна.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2024.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58BA">
        <w:trPr>
          <w:trHeight w:hRule="exact" w:val="138"/>
        </w:trPr>
        <w:tc>
          <w:tcPr>
            <w:tcW w:w="285" w:type="dxa"/>
          </w:tcPr>
          <w:p w:rsidR="005258BA" w:rsidRDefault="005258BA"/>
        </w:tc>
        <w:tc>
          <w:tcPr>
            <w:tcW w:w="9356" w:type="dxa"/>
          </w:tcPr>
          <w:p w:rsidR="005258BA" w:rsidRDefault="005258BA"/>
        </w:tc>
      </w:tr>
      <w:tr w:rsidR="005258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58B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практикоориентированного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978-5-534-08089-6.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https://urait.ru/bcode/473319</w:t>
              </w:r>
            </w:hyperlink>
            <w:r>
              <w:t xml:space="preserve"> </w:t>
            </w:r>
          </w:p>
        </w:tc>
      </w:tr>
      <w:tr w:rsidR="005258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978-5-534-11468-3.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https://urait.ru/bcode/473797</w:t>
              </w:r>
            </w:hyperlink>
            <w:r>
              <w:t xml:space="preserve"> </w:t>
            </w:r>
          </w:p>
        </w:tc>
      </w:tr>
      <w:tr w:rsidR="005258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978-5-534-10798-2.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https://urait.ru/bcode/474014</w:t>
              </w:r>
            </w:hyperlink>
            <w:r>
              <w:t xml:space="preserve"> </w:t>
            </w:r>
          </w:p>
        </w:tc>
      </w:tr>
      <w:tr w:rsidR="005258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Купряшин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978-5-534-14002-6.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https://urait.ru/bcode/467459</w:t>
              </w:r>
            </w:hyperlink>
            <w:r>
              <w:t xml:space="preserve"> </w:t>
            </w:r>
          </w:p>
        </w:tc>
      </w:tr>
      <w:tr w:rsidR="005258BA">
        <w:trPr>
          <w:trHeight w:hRule="exact" w:val="277"/>
        </w:trPr>
        <w:tc>
          <w:tcPr>
            <w:tcW w:w="285" w:type="dxa"/>
          </w:tcPr>
          <w:p w:rsidR="005258BA" w:rsidRDefault="005258B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58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978-5-534-00153-2.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https://urait.ru/bcode/471526</w:t>
              </w:r>
            </w:hyperlink>
            <w:r>
              <w:t xml:space="preserve"> </w:t>
            </w:r>
          </w:p>
        </w:tc>
      </w:tr>
      <w:tr w:rsidR="005258B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5258BA"/>
        </w:tc>
      </w:tr>
      <w:tr w:rsidR="005258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https://urait.ru/bcode/473082</w:t>
              </w:r>
            </w:hyperlink>
            <w:r>
              <w:t xml:space="preserve"> </w:t>
            </w:r>
          </w:p>
        </w:tc>
      </w:tr>
      <w:tr w:rsidR="005258B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Санжимитупова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https://urait.ru/bcode/469345</w:t>
              </w:r>
            </w:hyperlink>
            <w:r>
              <w:t xml:space="preserve"> 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5258BA">
        <w:trPr>
          <w:trHeight w:hRule="exact" w:val="9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ресурсам. Режим доступа: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8B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58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258BA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8BA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5258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58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5258BA" w:rsidRDefault="005258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 Русский Moodle 3KL</w:t>
            </w:r>
          </w:p>
          <w:p w:rsidR="005258BA" w:rsidRDefault="005258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258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258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58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«Информационно-коммуникационные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образовании»</w:t>
            </w:r>
          </w:p>
        </w:tc>
      </w:tr>
      <w:tr w:rsidR="005258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258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258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58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258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58BA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8B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«Интернет».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 данных;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258BA">
        <w:trPr>
          <w:trHeight w:hRule="exact" w:val="277"/>
        </w:trPr>
        <w:tc>
          <w:tcPr>
            <w:tcW w:w="9640" w:type="dxa"/>
          </w:tcPr>
          <w:p w:rsidR="005258BA" w:rsidRDefault="005258BA"/>
        </w:tc>
      </w:tr>
      <w:tr w:rsidR="005258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58BA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микшер, микрофон, аудио-видео усилитель, ноутбук, Операционная система Microsoft Windows 10,  Microsoft Office Professional Plus 2007;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заведениях; Линко V8.2;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</w:t>
            </w:r>
          </w:p>
        </w:tc>
      </w:tr>
    </w:tbl>
    <w:p w:rsidR="005258BA" w:rsidRDefault="006D2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8BA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58BA" w:rsidRDefault="006D2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258BA" w:rsidRDefault="005258BA"/>
    <w:sectPr w:rsidR="005258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58BA"/>
    <w:rsid w:val="006D29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6745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01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3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6934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73319" TargetMode="External"/><Relationship Id="rId9" Type="http://schemas.openxmlformats.org/officeDocument/2006/relationships/hyperlink" Target="https://urait.ru/bcode/47308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71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6996</Words>
  <Characters>39881</Characters>
  <Application>Microsoft Office Word</Application>
  <DocSecurity>0</DocSecurity>
  <Lines>332</Lines>
  <Paragraphs>93</Paragraphs>
  <ScaleCrop>false</ScaleCrop>
  <Company/>
  <LinksUpToDate>false</LinksUpToDate>
  <CharactersWithSpaces>46784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2024-2025_ФГОС3++2024_Маг-ЗФО-ПО(ГОУО)(24)_plx_Модели государственно-общественного управления образованием</dc:title>
  <dc:creator>FastReport.NET</dc:creator>
  <cp:lastModifiedBy>Mark Bernstorf</cp:lastModifiedBy>
  <cp:revision>2</cp:revision>
  <dcterms:created xsi:type="dcterms:W3CDTF">2024-05-18T14:12:00Z</dcterms:created>
  <dcterms:modified xsi:type="dcterms:W3CDTF">2024-05-18T14:12:00Z</dcterms:modified>
</cp:coreProperties>
</file>